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167F84">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70BAA" w:rsidRPr="00F70BAA">
        <w:t>R4-2111444</w:t>
      </w:r>
    </w:p>
    <w:p w:rsidR="00675C27" w:rsidRPr="00444A16" w:rsidRDefault="009D7747" w:rsidP="00F71A33">
      <w:pPr>
        <w:pStyle w:val="a1"/>
        <w:rPr>
          <w:rFonts w:eastAsia="宋体"/>
          <w:lang w:eastAsia="zh-CN"/>
        </w:rPr>
      </w:pPr>
      <w:r>
        <w:rPr>
          <w:rFonts w:eastAsia="宋体"/>
          <w:lang w:eastAsia="zh-CN"/>
        </w:rPr>
        <w:t>Electronic Meeting, May</w:t>
      </w:r>
      <w:r w:rsidR="00167F84" w:rsidRPr="00AC4DD3">
        <w:rPr>
          <w:rFonts w:eastAsia="宋体"/>
          <w:lang w:eastAsia="zh-CN"/>
        </w:rPr>
        <w:t xml:space="preserve">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04EA6" w:rsidRPr="00A04EA6">
        <w:rPr>
          <w:rFonts w:ascii="Arial" w:hAnsi="Arial" w:cs="Arial"/>
          <w:sz w:val="22"/>
        </w:rPr>
        <w:t>On requirements for n40 supporting PC2 UL MIMO</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70BAA" w:rsidRPr="00F70BAA">
        <w:rPr>
          <w:rFonts w:ascii="Arial" w:hAnsi="Arial" w:cs="Arial"/>
          <w:sz w:val="22"/>
        </w:rPr>
        <w:t>8.42.2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7C5132">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FF706D" w:rsidRDefault="00FF3E30" w:rsidP="009A089A">
      <w:r>
        <w:t xml:space="preserve">A WF on </w:t>
      </w:r>
      <w:r w:rsidRPr="00F5064A">
        <w:t>PC2 UL MIMO for Band n40</w:t>
      </w:r>
      <w:r>
        <w:t xml:space="preserve"> was agreed in last RAN4 meeting. The main focus on the WF is to address the questions raised during the discussion, i.e. for MPR requirements. However, there is no conclusion on A-MPR. To make the analysis complete, in this contribution we provide additional consideration on A-MPR for a band supporting UL MIMO, which is not subjected to band n40.</w:t>
      </w:r>
    </w:p>
    <w:p w:rsidR="00E722B1" w:rsidRDefault="00062E8E" w:rsidP="005369EE">
      <w:pPr>
        <w:pStyle w:val="Heading1"/>
        <w:spacing w:after="240"/>
        <w:rPr>
          <w:rFonts w:eastAsia="宋体"/>
          <w:lang w:eastAsia="zh-CN"/>
        </w:rPr>
      </w:pPr>
      <w:r>
        <w:rPr>
          <w:rFonts w:eastAsia="宋体" w:hint="eastAsia"/>
          <w:lang w:eastAsia="zh-CN"/>
        </w:rPr>
        <w:t>Discussion</w:t>
      </w:r>
    </w:p>
    <w:p w:rsidR="00CF13F6" w:rsidRDefault="00CF13F6" w:rsidP="00CF13F6">
      <w:pPr>
        <w:pStyle w:val="Heading2"/>
        <w:spacing w:after="240"/>
        <w:rPr>
          <w:lang w:val="en-US"/>
        </w:rPr>
      </w:pPr>
      <w:r>
        <w:rPr>
          <w:lang w:val="en-US"/>
        </w:rPr>
        <w:t>A-MPR requirement in general</w:t>
      </w:r>
    </w:p>
    <w:p w:rsidR="00CF13F6" w:rsidRDefault="00CF13F6" w:rsidP="00CF13F6">
      <w:r>
        <w:t xml:space="preserve">The A-MPR requirements for UL MIMO is also considered in the specification, which is defined in a generic manner for all possible bands as below. </w:t>
      </w:r>
    </w:p>
    <w:tbl>
      <w:tblPr>
        <w:tblStyle w:val="TableGrid"/>
        <w:tblW w:w="0" w:type="auto"/>
        <w:tblLook w:val="04A0" w:firstRow="1" w:lastRow="0" w:firstColumn="1" w:lastColumn="0" w:noHBand="0" w:noVBand="1"/>
      </w:tblPr>
      <w:tblGrid>
        <w:gridCol w:w="9631"/>
      </w:tblGrid>
      <w:tr w:rsidR="00CF13F6" w:rsidTr="00CF13F6">
        <w:tc>
          <w:tcPr>
            <w:tcW w:w="9631" w:type="dxa"/>
          </w:tcPr>
          <w:p w:rsidR="00CF13F6" w:rsidRPr="00A1115A" w:rsidRDefault="00CF13F6" w:rsidP="00CF13F6">
            <w:pPr>
              <w:pStyle w:val="Heading3"/>
              <w:numPr>
                <w:ilvl w:val="0"/>
                <w:numId w:val="0"/>
              </w:numPr>
              <w:ind w:left="510" w:hanging="510"/>
              <w:outlineLvl w:val="2"/>
            </w:pPr>
            <w:bookmarkStart w:id="3" w:name="_Toc21344284"/>
            <w:bookmarkStart w:id="4" w:name="_Toc29801770"/>
            <w:bookmarkStart w:id="5" w:name="_Toc29802194"/>
            <w:bookmarkStart w:id="6" w:name="_Toc29802819"/>
            <w:bookmarkStart w:id="7" w:name="_Toc36107561"/>
            <w:bookmarkStart w:id="8" w:name="_Toc37251327"/>
            <w:bookmarkStart w:id="9" w:name="_Toc45888142"/>
            <w:bookmarkStart w:id="10" w:name="_Toc45888741"/>
            <w:bookmarkStart w:id="11" w:name="_Toc61367386"/>
            <w:bookmarkStart w:id="12" w:name="_Toc61372769"/>
            <w:bookmarkStart w:id="13" w:name="_Toc68230710"/>
            <w:bookmarkStart w:id="14" w:name="_Toc69084123"/>
            <w:r w:rsidRPr="00A1115A">
              <w:t>6.2</w:t>
            </w:r>
            <w:r w:rsidRPr="00A1115A">
              <w:rPr>
                <w:rFonts w:hint="eastAsia"/>
              </w:rPr>
              <w:t>D.3</w:t>
            </w:r>
            <w:r w:rsidRPr="00A1115A">
              <w:tab/>
              <w:t>UE additional maximum output power reduction</w:t>
            </w:r>
            <w:r w:rsidRPr="00A1115A">
              <w:rPr>
                <w:rFonts w:hint="eastAsia"/>
              </w:rPr>
              <w:t xml:space="preserve"> for UL MIMO</w:t>
            </w:r>
            <w:bookmarkEnd w:id="3"/>
            <w:bookmarkEnd w:id="4"/>
            <w:bookmarkEnd w:id="5"/>
            <w:bookmarkEnd w:id="6"/>
            <w:bookmarkEnd w:id="7"/>
            <w:bookmarkEnd w:id="8"/>
            <w:bookmarkEnd w:id="9"/>
            <w:bookmarkEnd w:id="10"/>
            <w:bookmarkEnd w:id="11"/>
            <w:bookmarkEnd w:id="12"/>
            <w:bookmarkEnd w:id="13"/>
            <w:bookmarkEnd w:id="14"/>
          </w:p>
          <w:p w:rsidR="00CF13F6" w:rsidRPr="00A1115A" w:rsidRDefault="00CF13F6" w:rsidP="00CF13F6">
            <w:r w:rsidRPr="00A1115A">
              <w:t>For UE with two transmit antenna connectors in closed-loop spatial multiplexing scheme, the A-MPR values specified in clause 6.2.</w:t>
            </w:r>
            <w:r w:rsidRPr="00A1115A">
              <w:rPr>
                <w:rFonts w:hint="eastAsia"/>
              </w:rPr>
              <w:t>3</w:t>
            </w:r>
            <w:r w:rsidRPr="00A1115A">
              <w:t xml:space="preserve"> shall apply to the maximum output power specified in Table 6.2</w:t>
            </w:r>
            <w:r w:rsidRPr="00A1115A">
              <w:rPr>
                <w:rFonts w:hint="eastAsia"/>
              </w:rPr>
              <w:t>D.1</w:t>
            </w:r>
            <w:r w:rsidRPr="00A1115A">
              <w:t>-1. The requirements shall be met with the UL MIMO configurations specified in Table 6.2</w:t>
            </w:r>
            <w:r w:rsidRPr="00A1115A">
              <w:rPr>
                <w:rFonts w:hint="eastAsia"/>
              </w:rPr>
              <w:t>D</w:t>
            </w:r>
            <w:r w:rsidRPr="00A1115A">
              <w:t>.</w:t>
            </w:r>
            <w:r w:rsidRPr="00A1115A">
              <w:rPr>
                <w:rFonts w:hint="eastAsia"/>
              </w:rPr>
              <w:t>1</w:t>
            </w:r>
            <w:r w:rsidRPr="00A1115A">
              <w:t>-2. For UE supporting UL MIMO, the maximum output power is defined as the sum of the maximum output power from both UE antenna connector. Unless stated otherwise, an A-MPR of 0 dB shall be used.</w:t>
            </w:r>
          </w:p>
          <w:p w:rsidR="00CF13F6" w:rsidRPr="00A1115A" w:rsidRDefault="00CF13F6" w:rsidP="00CF13F6">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rPr>
              <w:t>D</w:t>
            </w:r>
            <w:r w:rsidRPr="00A1115A">
              <w:t>.</w:t>
            </w:r>
            <w:r w:rsidRPr="00A1115A">
              <w:rPr>
                <w:rFonts w:hint="eastAsia"/>
              </w:rPr>
              <w:t>1</w:t>
            </w:r>
            <w:r w:rsidRPr="00A1115A">
              <w:t>-1. The requirements shall be met with the PUSCH configurations specified in Table 6.2</w:t>
            </w:r>
            <w:r w:rsidRPr="00A1115A">
              <w:rPr>
                <w:rFonts w:hint="eastAsia"/>
              </w:rPr>
              <w:t>D</w:t>
            </w:r>
            <w:r w:rsidRPr="00A1115A">
              <w:t>.</w:t>
            </w:r>
            <w:r w:rsidRPr="00A1115A">
              <w:rPr>
                <w:rFonts w:hint="eastAsia"/>
              </w:rPr>
              <w:t>1</w:t>
            </w:r>
            <w:r w:rsidRPr="00A1115A">
              <w:t>-3, based upon UE’s support of uplink full power transmission mode.</w:t>
            </w:r>
          </w:p>
          <w:p w:rsidR="00CF13F6" w:rsidRPr="00A1115A" w:rsidRDefault="00CF13F6" w:rsidP="00CF13F6">
            <w:r w:rsidRPr="00A1115A">
              <w:t>For the UE maximum output power modified by A-MPR, the power limits specified in clause 6.2</w:t>
            </w:r>
            <w:r w:rsidRPr="00A1115A">
              <w:rPr>
                <w:rFonts w:hint="eastAsia"/>
              </w:rPr>
              <w:t>D</w:t>
            </w:r>
            <w:r w:rsidRPr="00A1115A">
              <w:t>.</w:t>
            </w:r>
            <w:r w:rsidRPr="00A1115A">
              <w:rPr>
                <w:rFonts w:hint="eastAsia"/>
              </w:rPr>
              <w:t>4</w:t>
            </w:r>
            <w:r w:rsidRPr="00A1115A">
              <w:t xml:space="preserve"> apply.</w:t>
            </w:r>
          </w:p>
          <w:p w:rsidR="00CF13F6" w:rsidRDefault="00CF13F6" w:rsidP="00CF13F6">
            <w:r w:rsidRPr="00A1115A">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tc>
      </w:tr>
    </w:tbl>
    <w:p w:rsidR="00CF13F6" w:rsidRDefault="00CF13F6" w:rsidP="00CF13F6"/>
    <w:p w:rsidR="00CF13F6" w:rsidRDefault="00CF13F6" w:rsidP="00CF13F6">
      <w:r>
        <w:t>Currently there are several bands already support UL MIMO with power class other than PC3. Since there are no specific additional requirements for band n77, n78 and n79, the way we adopted for n41 can be considered as reference to define the A-MPR requirements for HPUE supporting UL MIMO.</w:t>
      </w:r>
    </w:p>
    <w:p w:rsidR="00CF13F6" w:rsidRPr="00A1115A" w:rsidRDefault="00CF13F6" w:rsidP="00CF13F6">
      <w:pPr>
        <w:pStyle w:val="TH"/>
      </w:pPr>
      <w:r w:rsidRPr="00A1115A">
        <w:lastRenderedPageBreak/>
        <w:t>Table 6.2</w:t>
      </w:r>
      <w:r w:rsidRPr="00A1115A">
        <w:rPr>
          <w:rFonts w:hint="eastAsia"/>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H"/>
              <w:rPr>
                <w:rFonts w:cs="Arial"/>
                <w:szCs w:val="18"/>
                <w:lang w:eastAsia="ko-KR"/>
              </w:rPr>
            </w:pPr>
            <w:bookmarkStart w:id="15"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H"/>
              <w:rPr>
                <w:rFonts w:cs="Arial"/>
                <w:szCs w:val="18"/>
                <w:lang w:eastAsia="ko-KR"/>
              </w:rPr>
            </w:pPr>
            <w:r w:rsidRPr="00A1115A">
              <w:rPr>
                <w:rFonts w:cs="Arial"/>
                <w:szCs w:val="18"/>
                <w:lang w:eastAsia="ko-KR"/>
              </w:rPr>
              <w:t>Tolerance (dB)</w:t>
            </w: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b/>
                <w:lang w:eastAsia="ko-KR"/>
              </w:rPr>
            </w:pPr>
            <w:r w:rsidRPr="00A1115A">
              <w:t>n3</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n7</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b/>
                <w:lang w:eastAsia="ko-KR"/>
              </w:rPr>
            </w:pPr>
            <w:r w:rsidRPr="00A1115A">
              <w:t>n34</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b/>
                <w:lang w:eastAsia="ko-KR"/>
              </w:rPr>
            </w:pPr>
            <w:r w:rsidRPr="00A1115A">
              <w:t>n39</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b/>
                <w:lang w:eastAsia="ko-KR"/>
              </w:rPr>
            </w:pPr>
            <w:r w:rsidRPr="00A1115A">
              <w:t>n40</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b/>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F13F6" w:rsidRPr="00A1115A" w:rsidRDefault="00CF13F6" w:rsidP="00897CA8">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CF13F6" w:rsidRPr="00A1115A" w:rsidRDefault="00CF13F6" w:rsidP="00897CA8">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F13F6" w:rsidRPr="00A1115A" w:rsidRDefault="00CF13F6" w:rsidP="00897CA8">
            <w:pPr>
              <w:pStyle w:val="TAC"/>
              <w:rPr>
                <w:rFonts w:eastAsia="CG Times (WN)"/>
                <w:lang w:eastAsia="ko-KR"/>
              </w:rPr>
            </w:pPr>
          </w:p>
        </w:tc>
      </w:tr>
      <w:tr w:rsidR="00CF13F6" w:rsidRPr="00A1115A" w:rsidTr="00897CA8">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CF13F6" w:rsidRPr="00A1115A" w:rsidRDefault="00CF13F6" w:rsidP="00897CA8">
            <w:pPr>
              <w:pStyle w:val="TAN"/>
              <w:rPr>
                <w:lang w:eastAsia="ko-KR"/>
              </w:rPr>
            </w:pPr>
            <w:r w:rsidRPr="00A1115A">
              <w:rPr>
                <w:lang w:eastAsia="ko-KR"/>
              </w:rPr>
              <w:t xml:space="preserve">NOTE </w:t>
            </w:r>
            <w:r w:rsidRPr="00A1115A">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rsidR="00CF13F6" w:rsidRPr="00A1115A" w:rsidRDefault="00CF13F6" w:rsidP="00897CA8">
            <w:pPr>
              <w:pStyle w:val="TAN"/>
              <w:rPr>
                <w:lang w:eastAsia="ko-KR"/>
              </w:rPr>
            </w:pPr>
            <w:r w:rsidRPr="00A1115A">
              <w:rPr>
                <w:lang w:eastAsia="ko-KR"/>
              </w:rPr>
              <w:t>NOTE 2:</w:t>
            </w:r>
            <w:r w:rsidRPr="00A1115A">
              <w:rPr>
                <w:lang w:eastAsia="ko-KR"/>
              </w:rPr>
              <w:tab/>
              <w:t>Power class 3 is the default power class unless otherwise stated</w:t>
            </w:r>
          </w:p>
        </w:tc>
      </w:tr>
    </w:tbl>
    <w:bookmarkEnd w:id="15"/>
    <w:p w:rsidR="00CF13F6" w:rsidRDefault="00CF13F6" w:rsidP="00CF13F6">
      <w:pPr>
        <w:spacing w:before="120"/>
      </w:pPr>
      <w:r>
        <w:t xml:space="preserve">According to requirements specified in </w:t>
      </w:r>
      <w:r w:rsidRPr="00A1115A">
        <w:t>6.2</w:t>
      </w:r>
      <w:r w:rsidRPr="00A1115A">
        <w:rPr>
          <w:rFonts w:hint="eastAsia"/>
        </w:rPr>
        <w:t>D.3</w:t>
      </w:r>
      <w:r>
        <w:t xml:space="preserve">, </w:t>
      </w:r>
      <w:r w:rsidRPr="00A1115A">
        <w:t>the A-MPR values specified in clause 6.2.</w:t>
      </w:r>
      <w:r w:rsidRPr="00A1115A">
        <w:rPr>
          <w:rFonts w:hint="eastAsia"/>
        </w:rPr>
        <w:t>3</w:t>
      </w:r>
      <w:r w:rsidRPr="00A1115A">
        <w:t xml:space="preserve"> shall apply</w:t>
      </w:r>
      <w:r>
        <w:t xml:space="preserve">, which </w:t>
      </w:r>
      <w:r w:rsidR="005806E3">
        <w:t xml:space="preserve">means that this specific requirement can be considered in the clause for general requirements as well. Since not all bands supporting UL MIMO need to consider A-MPR, we think it is easier to follow the exiting manner we adopted for PC1.5 for n41 to just consider additional supplement of A-MPR for UL MIMO in </w:t>
      </w:r>
      <w:r w:rsidR="005806E3" w:rsidRPr="00A1115A">
        <w:t>clause 6.2.</w:t>
      </w:r>
      <w:r w:rsidR="005806E3" w:rsidRPr="00A1115A">
        <w:rPr>
          <w:rFonts w:hint="eastAsia"/>
        </w:rPr>
        <w:t>3</w:t>
      </w:r>
      <w:r w:rsidR="005806E3">
        <w:t xml:space="preserve"> if needed. </w:t>
      </w:r>
    </w:p>
    <w:p w:rsidR="005806E3" w:rsidRDefault="005806E3" w:rsidP="005806E3">
      <w:pPr>
        <w:spacing w:after="120"/>
        <w:rPr>
          <w:b/>
          <w:i/>
          <w:lang w:val="en-US" w:eastAsia="en-US"/>
        </w:rPr>
      </w:pPr>
      <w:r>
        <w:rPr>
          <w:b/>
          <w:i/>
          <w:lang w:val="en-US" w:eastAsia="en-US"/>
        </w:rPr>
        <w:t xml:space="preserve">Observation 1: </w:t>
      </w:r>
      <w:r w:rsidR="00565D40">
        <w:rPr>
          <w:b/>
          <w:i/>
          <w:lang w:val="en-US" w:eastAsia="en-US"/>
        </w:rPr>
        <w:t>A-MPR requirement</w:t>
      </w:r>
      <w:r>
        <w:rPr>
          <w:b/>
          <w:i/>
          <w:lang w:val="en-US" w:eastAsia="en-US"/>
        </w:rPr>
        <w:t xml:space="preserve"> should be considered for NR bands supporting UL MIMO for power classes other than PC3</w:t>
      </w:r>
      <w:r w:rsidR="00565D40">
        <w:rPr>
          <w:b/>
          <w:i/>
          <w:lang w:val="en-US" w:eastAsia="en-US"/>
        </w:rPr>
        <w:t>, which is studied band by band</w:t>
      </w:r>
    </w:p>
    <w:p w:rsidR="005806E3" w:rsidRDefault="005806E3" w:rsidP="005806E3">
      <w:pPr>
        <w:spacing w:after="120"/>
        <w:rPr>
          <w:b/>
          <w:i/>
        </w:rPr>
      </w:pPr>
      <w:r w:rsidRPr="005806E3">
        <w:rPr>
          <w:b/>
          <w:i/>
          <w:lang w:val="en-US" w:eastAsia="en-US"/>
        </w:rPr>
        <w:t>Observation</w:t>
      </w:r>
      <w:r w:rsidRPr="005806E3">
        <w:rPr>
          <w:b/>
          <w:i/>
        </w:rPr>
        <w:t xml:space="preserve"> </w:t>
      </w:r>
      <w:r>
        <w:rPr>
          <w:b/>
          <w:i/>
        </w:rPr>
        <w:t>2</w:t>
      </w:r>
      <w:r w:rsidRPr="005806E3">
        <w:rPr>
          <w:b/>
          <w:i/>
        </w:rPr>
        <w:t xml:space="preserve">: </w:t>
      </w:r>
      <w:r>
        <w:rPr>
          <w:rFonts w:hint="eastAsia"/>
          <w:b/>
          <w:i/>
        </w:rPr>
        <w:t>Band</w:t>
      </w:r>
      <w:r>
        <w:rPr>
          <w:b/>
          <w:i/>
        </w:rPr>
        <w:t xml:space="preserve"> specific A-MPR requirements for UL MIMO are considered additionally in clause 6.2.3</w:t>
      </w:r>
      <w:r w:rsidR="00565D40">
        <w:rPr>
          <w:b/>
          <w:i/>
        </w:rPr>
        <w:t xml:space="preserve"> with A-MPR applicable to non-MIMO mode</w:t>
      </w:r>
    </w:p>
    <w:p w:rsidR="00565D40" w:rsidRPr="005806E3" w:rsidRDefault="00565D40" w:rsidP="005806E3">
      <w:pPr>
        <w:spacing w:after="120"/>
        <w:rPr>
          <w:b/>
          <w:i/>
        </w:rPr>
      </w:pPr>
      <w:r>
        <w:rPr>
          <w:b/>
          <w:i/>
        </w:rPr>
        <w:t>Proposal 1: A</w:t>
      </w:r>
      <w:r w:rsidR="003B6CA8">
        <w:rPr>
          <w:b/>
          <w:i/>
        </w:rPr>
        <w:t xml:space="preserve">-MPR for UL MIMO can be specified additionally with other A-MPR requirements for the operating bands in the same sub-clause if needed. </w:t>
      </w:r>
    </w:p>
    <w:p w:rsidR="00CF13F6" w:rsidRPr="00CF13F6" w:rsidRDefault="00CF13F6" w:rsidP="00CF13F6"/>
    <w:p w:rsidR="00CF13F6" w:rsidRDefault="00CF13F6" w:rsidP="00CF13F6">
      <w:pPr>
        <w:pStyle w:val="Heading2"/>
        <w:spacing w:after="240"/>
        <w:rPr>
          <w:lang w:val="en-US"/>
        </w:rPr>
      </w:pPr>
      <w:r>
        <w:rPr>
          <w:lang w:val="en-US"/>
        </w:rPr>
        <w:t>A-MPR consideration for band n40</w:t>
      </w:r>
    </w:p>
    <w:p w:rsidR="00CF13F6" w:rsidRPr="00CF13F6" w:rsidRDefault="00CF13F6" w:rsidP="00CF13F6">
      <w:pPr>
        <w:pStyle w:val="CharChar"/>
      </w:pPr>
    </w:p>
    <w:p w:rsidR="00E722B1" w:rsidRDefault="00E722B1" w:rsidP="00E722B1">
      <w:r>
        <w:t>So far, the bands supporting UL MIMO are listed in the table below (recopied from the spec):</w:t>
      </w:r>
    </w:p>
    <w:p w:rsidR="00E722B1" w:rsidRPr="00A1115A" w:rsidRDefault="00E722B1" w:rsidP="00E722B1">
      <w:pPr>
        <w:pStyle w:val="TH"/>
      </w:pPr>
      <w:r w:rsidRPr="00A1115A">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E722B1" w:rsidTr="00897CA8">
        <w:trPr>
          <w:jc w:val="center"/>
        </w:trPr>
        <w:tc>
          <w:tcPr>
            <w:tcW w:w="4945" w:type="dxa"/>
            <w:tcBorders>
              <w:top w:val="single" w:sz="4" w:space="0" w:color="auto"/>
              <w:left w:val="single" w:sz="4" w:space="0" w:color="auto"/>
              <w:bottom w:val="nil"/>
              <w:right w:val="single" w:sz="4" w:space="0" w:color="auto"/>
            </w:tcBorders>
            <w:hideMark/>
          </w:tcPr>
          <w:p w:rsidR="00E722B1" w:rsidRDefault="00E722B1" w:rsidP="00897CA8">
            <w:pPr>
              <w:pStyle w:val="TAH"/>
              <w:rPr>
                <w:lang w:val="en-US" w:eastAsia="ko-KR"/>
              </w:rPr>
            </w:pPr>
            <w:r>
              <w:rPr>
                <w:lang w:eastAsia="ko-KR"/>
              </w:rPr>
              <w:t>NR operating band</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H"/>
              <w:rPr>
                <w:rFonts w:cs="Arial"/>
                <w:b w:val="0"/>
                <w:szCs w:val="18"/>
                <w:lang w:eastAsia="ja-JP"/>
              </w:rPr>
            </w:pPr>
            <w:r w:rsidRPr="00A03B29">
              <w:rPr>
                <w:rFonts w:cs="Arial"/>
                <w:b w:val="0"/>
                <w:szCs w:val="18"/>
                <w:lang w:eastAsia="ja-JP"/>
              </w:rPr>
              <w:t>n1</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H"/>
              <w:rPr>
                <w:rFonts w:cs="Arial"/>
                <w:b w:val="0"/>
                <w:szCs w:val="18"/>
                <w:lang w:eastAsia="ko-KR"/>
              </w:rPr>
            </w:pPr>
            <w:r w:rsidRPr="00A03B29">
              <w:rPr>
                <w:rFonts w:cs="Arial"/>
                <w:b w:val="0"/>
                <w:szCs w:val="18"/>
              </w:rPr>
              <w:t>n2</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C"/>
              <w:rPr>
                <w:rFonts w:cs="Arial"/>
                <w:szCs w:val="18"/>
                <w:lang w:eastAsia="ko-KR"/>
              </w:rPr>
            </w:pPr>
            <w:r w:rsidRPr="00A03B29">
              <w:rPr>
                <w:rFonts w:cs="Arial"/>
                <w:szCs w:val="18"/>
              </w:rPr>
              <w:t>n3</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hideMark/>
          </w:tcPr>
          <w:p w:rsidR="00E722B1" w:rsidRPr="00A03B29" w:rsidRDefault="00E722B1" w:rsidP="00897CA8">
            <w:pPr>
              <w:pStyle w:val="TAC"/>
              <w:rPr>
                <w:rFonts w:cs="Arial"/>
                <w:szCs w:val="18"/>
              </w:rPr>
            </w:pPr>
            <w:r w:rsidRPr="00A03B29">
              <w:rPr>
                <w:rFonts w:cs="Arial"/>
                <w:szCs w:val="18"/>
              </w:rPr>
              <w:t>n7</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C"/>
              <w:rPr>
                <w:rFonts w:cs="Arial"/>
                <w:szCs w:val="18"/>
              </w:rPr>
            </w:pPr>
            <w:r w:rsidRPr="00A03B29">
              <w:rPr>
                <w:rFonts w:cs="Arial"/>
                <w:szCs w:val="18"/>
              </w:rPr>
              <w:t>n25</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C"/>
              <w:rPr>
                <w:rFonts w:cs="Arial"/>
                <w:szCs w:val="18"/>
              </w:rPr>
            </w:pPr>
            <w:r w:rsidRPr="00A03B29">
              <w:rPr>
                <w:rFonts w:cs="Arial"/>
                <w:szCs w:val="18"/>
              </w:rPr>
              <w:t>n30</w:t>
            </w:r>
            <w:r w:rsidRPr="00A03B29">
              <w:rPr>
                <w:rFonts w:cs="Arial"/>
                <w:szCs w:val="18"/>
                <w:vertAlign w:val="superscript"/>
              </w:rPr>
              <w:t>1</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C"/>
              <w:rPr>
                <w:rFonts w:cs="Arial"/>
                <w:szCs w:val="18"/>
                <w:lang w:eastAsia="ko-KR"/>
              </w:rPr>
            </w:pPr>
            <w:r w:rsidRPr="00A03B29">
              <w:rPr>
                <w:rFonts w:cs="Arial"/>
                <w:szCs w:val="18"/>
              </w:rPr>
              <w:t>n34</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hideMark/>
          </w:tcPr>
          <w:p w:rsidR="00E722B1" w:rsidRPr="00A03B29" w:rsidRDefault="00E722B1" w:rsidP="00897CA8">
            <w:pPr>
              <w:pStyle w:val="TAC"/>
              <w:rPr>
                <w:rFonts w:cs="Arial"/>
                <w:szCs w:val="18"/>
              </w:rPr>
            </w:pPr>
            <w:r w:rsidRPr="00A03B29">
              <w:rPr>
                <w:rFonts w:cs="Arial"/>
                <w:szCs w:val="18"/>
              </w:rPr>
              <w:t>n38</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C"/>
              <w:rPr>
                <w:rFonts w:cs="Arial"/>
                <w:szCs w:val="18"/>
                <w:lang w:eastAsia="ko-KR"/>
              </w:rPr>
            </w:pPr>
            <w:r w:rsidRPr="00A03B29">
              <w:rPr>
                <w:rFonts w:cs="Arial"/>
                <w:szCs w:val="18"/>
              </w:rPr>
              <w:t>n39</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C"/>
              <w:rPr>
                <w:rFonts w:cs="Arial"/>
                <w:szCs w:val="18"/>
                <w:lang w:eastAsia="ko-KR"/>
              </w:rPr>
            </w:pPr>
            <w:r w:rsidRPr="00A03B29">
              <w:rPr>
                <w:rFonts w:cs="Arial"/>
                <w:szCs w:val="18"/>
              </w:rPr>
              <w:t>n40</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hideMark/>
          </w:tcPr>
          <w:p w:rsidR="00E722B1" w:rsidRPr="00A03B29" w:rsidRDefault="00E722B1" w:rsidP="00897CA8">
            <w:pPr>
              <w:pStyle w:val="TAC"/>
              <w:rPr>
                <w:rFonts w:cs="Arial"/>
                <w:szCs w:val="18"/>
                <w:lang w:eastAsia="ko-KR"/>
              </w:rPr>
            </w:pPr>
            <w:r w:rsidRPr="00A03B29">
              <w:rPr>
                <w:rFonts w:cs="Arial"/>
                <w:szCs w:val="18"/>
                <w:lang w:eastAsia="ko-KR"/>
              </w:rPr>
              <w:t>n41</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C"/>
              <w:rPr>
                <w:rFonts w:cs="Arial"/>
                <w:szCs w:val="18"/>
                <w:lang w:eastAsia="ko-KR"/>
              </w:rPr>
            </w:pPr>
            <w:r>
              <w:rPr>
                <w:rFonts w:cs="Arial"/>
                <w:szCs w:val="18"/>
                <w:lang w:eastAsia="ko-KR"/>
              </w:rPr>
              <w:t>n46</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hideMark/>
          </w:tcPr>
          <w:p w:rsidR="00E722B1" w:rsidRPr="00A03B29" w:rsidRDefault="00E722B1" w:rsidP="00897CA8">
            <w:pPr>
              <w:pStyle w:val="TAC"/>
              <w:rPr>
                <w:rFonts w:cs="Arial"/>
                <w:szCs w:val="18"/>
                <w:lang w:eastAsia="ko-KR"/>
              </w:rPr>
            </w:pPr>
            <w:r w:rsidRPr="00A03B29">
              <w:rPr>
                <w:rFonts w:cs="Arial"/>
                <w:szCs w:val="18"/>
                <w:lang w:eastAsia="ko-KR"/>
              </w:rPr>
              <w:t>n48</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C"/>
              <w:rPr>
                <w:rFonts w:cs="Arial"/>
                <w:szCs w:val="18"/>
                <w:lang w:eastAsia="ko-KR"/>
              </w:rPr>
            </w:pPr>
            <w:r w:rsidRPr="00A03B29">
              <w:rPr>
                <w:rFonts w:cs="Arial"/>
                <w:szCs w:val="18"/>
              </w:rPr>
              <w:t>n66</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A03B29" w:rsidRDefault="00E722B1" w:rsidP="00897CA8">
            <w:pPr>
              <w:pStyle w:val="TAC"/>
              <w:rPr>
                <w:rFonts w:cs="Arial"/>
                <w:szCs w:val="18"/>
              </w:rPr>
            </w:pPr>
            <w:r w:rsidRPr="00A03B29">
              <w:rPr>
                <w:rFonts w:cs="Arial"/>
                <w:szCs w:val="18"/>
              </w:rPr>
              <w:t>n70</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tcPr>
          <w:p w:rsidR="00E722B1" w:rsidRPr="00CE1654" w:rsidRDefault="00E722B1" w:rsidP="00897CA8">
            <w:pPr>
              <w:pStyle w:val="TAC"/>
              <w:rPr>
                <w:rFonts w:cs="Arial"/>
                <w:szCs w:val="18"/>
              </w:rPr>
            </w:pPr>
            <w:r w:rsidRPr="00A03B29">
              <w:rPr>
                <w:rFonts w:cs="Arial"/>
                <w:szCs w:val="18"/>
              </w:rPr>
              <w:t>n71</w:t>
            </w:r>
            <w:r>
              <w:rPr>
                <w:rFonts w:cs="Arial"/>
                <w:szCs w:val="18"/>
                <w:vertAlign w:val="superscript"/>
              </w:rPr>
              <w:t>2</w:t>
            </w:r>
          </w:p>
        </w:tc>
      </w:tr>
      <w:tr w:rsidR="00E722B1" w:rsidRPr="00A03B29" w:rsidTr="00897CA8">
        <w:trPr>
          <w:jc w:val="center"/>
        </w:trPr>
        <w:tc>
          <w:tcPr>
            <w:tcW w:w="4945" w:type="dxa"/>
            <w:tcBorders>
              <w:top w:val="single" w:sz="4" w:space="0" w:color="auto"/>
              <w:left w:val="single" w:sz="4" w:space="0" w:color="auto"/>
              <w:bottom w:val="nil"/>
              <w:right w:val="single" w:sz="4" w:space="0" w:color="auto"/>
            </w:tcBorders>
            <w:hideMark/>
          </w:tcPr>
          <w:p w:rsidR="00E722B1" w:rsidRPr="00A03B29" w:rsidRDefault="00E722B1" w:rsidP="00897CA8">
            <w:pPr>
              <w:pStyle w:val="TAC"/>
              <w:rPr>
                <w:rFonts w:cs="Arial"/>
                <w:szCs w:val="18"/>
                <w:lang w:eastAsia="ko-KR"/>
              </w:rPr>
            </w:pPr>
            <w:r w:rsidRPr="00A03B29">
              <w:rPr>
                <w:rFonts w:cs="Arial"/>
                <w:szCs w:val="18"/>
                <w:lang w:eastAsia="ko-KR"/>
              </w:rPr>
              <w:t>n77</w:t>
            </w:r>
          </w:p>
        </w:tc>
      </w:tr>
      <w:tr w:rsidR="00E722B1" w:rsidRPr="00A03B29" w:rsidTr="00897CA8">
        <w:trPr>
          <w:jc w:val="center"/>
        </w:trPr>
        <w:tc>
          <w:tcPr>
            <w:tcW w:w="4945" w:type="dxa"/>
            <w:tcBorders>
              <w:top w:val="single" w:sz="4" w:space="0" w:color="auto"/>
              <w:left w:val="single" w:sz="4" w:space="0" w:color="auto"/>
              <w:bottom w:val="single" w:sz="4" w:space="0" w:color="auto"/>
              <w:right w:val="single" w:sz="4" w:space="0" w:color="auto"/>
            </w:tcBorders>
            <w:hideMark/>
          </w:tcPr>
          <w:p w:rsidR="00E722B1" w:rsidRPr="00A03B29" w:rsidRDefault="00E722B1" w:rsidP="00897CA8">
            <w:pPr>
              <w:pStyle w:val="TAC"/>
              <w:rPr>
                <w:rFonts w:cs="Arial"/>
                <w:szCs w:val="18"/>
                <w:lang w:eastAsia="ko-KR"/>
              </w:rPr>
            </w:pPr>
            <w:r w:rsidRPr="00A03B29">
              <w:rPr>
                <w:rFonts w:cs="Arial"/>
                <w:szCs w:val="18"/>
                <w:lang w:eastAsia="ko-KR"/>
              </w:rPr>
              <w:t>n78</w:t>
            </w:r>
          </w:p>
        </w:tc>
      </w:tr>
      <w:tr w:rsidR="00E722B1" w:rsidRPr="00A03B29" w:rsidTr="00897CA8">
        <w:trPr>
          <w:jc w:val="center"/>
        </w:trPr>
        <w:tc>
          <w:tcPr>
            <w:tcW w:w="4945" w:type="dxa"/>
            <w:tcBorders>
              <w:top w:val="single" w:sz="4" w:space="0" w:color="auto"/>
              <w:left w:val="single" w:sz="4" w:space="0" w:color="auto"/>
              <w:bottom w:val="single" w:sz="4" w:space="0" w:color="auto"/>
              <w:right w:val="single" w:sz="4" w:space="0" w:color="auto"/>
            </w:tcBorders>
            <w:hideMark/>
          </w:tcPr>
          <w:p w:rsidR="00E722B1" w:rsidRPr="00A03B29" w:rsidRDefault="00E722B1" w:rsidP="00897CA8">
            <w:pPr>
              <w:pStyle w:val="TAC"/>
              <w:rPr>
                <w:rFonts w:cs="Arial"/>
                <w:szCs w:val="18"/>
                <w:lang w:eastAsia="ko-KR"/>
              </w:rPr>
            </w:pPr>
            <w:r w:rsidRPr="00A03B29">
              <w:rPr>
                <w:rFonts w:cs="Arial"/>
                <w:szCs w:val="18"/>
                <w:lang w:eastAsia="ko-KR"/>
              </w:rPr>
              <w:t>n79</w:t>
            </w:r>
          </w:p>
        </w:tc>
      </w:tr>
      <w:tr w:rsidR="00E722B1" w:rsidRPr="00A03B29" w:rsidTr="00897CA8">
        <w:trPr>
          <w:jc w:val="center"/>
        </w:trPr>
        <w:tc>
          <w:tcPr>
            <w:tcW w:w="4945" w:type="dxa"/>
            <w:tcBorders>
              <w:top w:val="single" w:sz="4" w:space="0" w:color="auto"/>
              <w:left w:val="single" w:sz="4" w:space="0" w:color="auto"/>
              <w:bottom w:val="single" w:sz="4" w:space="0" w:color="auto"/>
              <w:right w:val="single" w:sz="4" w:space="0" w:color="auto"/>
            </w:tcBorders>
          </w:tcPr>
          <w:p w:rsidR="00E722B1" w:rsidRPr="00A03B29" w:rsidRDefault="00E722B1" w:rsidP="00897CA8">
            <w:pPr>
              <w:pStyle w:val="TAC"/>
              <w:rPr>
                <w:rFonts w:cs="Arial"/>
                <w:szCs w:val="18"/>
                <w:lang w:eastAsia="ko-KR"/>
              </w:rPr>
            </w:pPr>
            <w:r>
              <w:rPr>
                <w:rFonts w:cs="Arial"/>
                <w:szCs w:val="18"/>
                <w:lang w:eastAsia="ko-KR"/>
              </w:rPr>
              <w:t>n84</w:t>
            </w:r>
          </w:p>
        </w:tc>
      </w:tr>
      <w:tr w:rsidR="00E722B1" w:rsidRPr="00A03B29" w:rsidTr="00897CA8">
        <w:trPr>
          <w:jc w:val="center"/>
        </w:trPr>
        <w:tc>
          <w:tcPr>
            <w:tcW w:w="4945" w:type="dxa"/>
            <w:tcBorders>
              <w:top w:val="single" w:sz="4" w:space="0" w:color="auto"/>
              <w:left w:val="single" w:sz="4" w:space="0" w:color="auto"/>
              <w:bottom w:val="single" w:sz="4" w:space="0" w:color="auto"/>
              <w:right w:val="single" w:sz="4" w:space="0" w:color="auto"/>
            </w:tcBorders>
          </w:tcPr>
          <w:p w:rsidR="00E722B1" w:rsidRDefault="00E722B1" w:rsidP="00897CA8">
            <w:pPr>
              <w:pStyle w:val="TAC"/>
              <w:rPr>
                <w:rFonts w:cs="Arial"/>
                <w:szCs w:val="18"/>
                <w:lang w:eastAsia="ko-KR"/>
              </w:rPr>
            </w:pPr>
            <w:r>
              <w:rPr>
                <w:rFonts w:cs="Arial"/>
                <w:szCs w:val="18"/>
              </w:rPr>
              <w:t>n95</w:t>
            </w:r>
          </w:p>
        </w:tc>
      </w:tr>
      <w:tr w:rsidR="00E722B1" w:rsidRPr="00A03B29" w:rsidTr="00897CA8">
        <w:trPr>
          <w:jc w:val="center"/>
        </w:trPr>
        <w:tc>
          <w:tcPr>
            <w:tcW w:w="4945" w:type="dxa"/>
            <w:tcBorders>
              <w:top w:val="single" w:sz="4" w:space="0" w:color="auto"/>
              <w:left w:val="single" w:sz="4" w:space="0" w:color="auto"/>
              <w:bottom w:val="single" w:sz="4" w:space="0" w:color="auto"/>
              <w:right w:val="single" w:sz="4" w:space="0" w:color="auto"/>
            </w:tcBorders>
          </w:tcPr>
          <w:p w:rsidR="00E722B1" w:rsidRPr="00A03B29" w:rsidRDefault="00E722B1" w:rsidP="00897CA8">
            <w:pPr>
              <w:pStyle w:val="TAC"/>
              <w:rPr>
                <w:rFonts w:cs="Arial"/>
                <w:szCs w:val="18"/>
                <w:lang w:eastAsia="ko-KR"/>
              </w:rPr>
            </w:pPr>
            <w:r>
              <w:rPr>
                <w:rFonts w:cs="Arial"/>
                <w:szCs w:val="18"/>
                <w:lang w:eastAsia="ko-KR"/>
              </w:rPr>
              <w:t>n96</w:t>
            </w:r>
          </w:p>
        </w:tc>
      </w:tr>
      <w:tr w:rsidR="00E722B1" w:rsidRPr="00A03B29" w:rsidTr="00897CA8">
        <w:trPr>
          <w:jc w:val="center"/>
        </w:trPr>
        <w:tc>
          <w:tcPr>
            <w:tcW w:w="4945" w:type="dxa"/>
            <w:tcBorders>
              <w:top w:val="single" w:sz="4" w:space="0" w:color="auto"/>
              <w:left w:val="single" w:sz="4" w:space="0" w:color="auto"/>
              <w:bottom w:val="single" w:sz="4" w:space="0" w:color="auto"/>
              <w:right w:val="single" w:sz="4" w:space="0" w:color="auto"/>
            </w:tcBorders>
          </w:tcPr>
          <w:p w:rsidR="00E722B1" w:rsidRDefault="00E722B1" w:rsidP="00897CA8">
            <w:pPr>
              <w:pStyle w:val="TAC"/>
              <w:rPr>
                <w:rFonts w:cs="Arial"/>
                <w:szCs w:val="18"/>
                <w:lang w:eastAsia="ko-KR"/>
              </w:rPr>
            </w:pPr>
            <w:r>
              <w:rPr>
                <w:rFonts w:cs="Arial"/>
                <w:szCs w:val="18"/>
              </w:rPr>
              <w:t>n97</w:t>
            </w:r>
          </w:p>
        </w:tc>
      </w:tr>
      <w:tr w:rsidR="00E722B1" w:rsidRPr="00A03B29" w:rsidTr="00897CA8">
        <w:trPr>
          <w:jc w:val="center"/>
        </w:trPr>
        <w:tc>
          <w:tcPr>
            <w:tcW w:w="4945" w:type="dxa"/>
            <w:tcBorders>
              <w:top w:val="single" w:sz="4" w:space="0" w:color="auto"/>
              <w:left w:val="single" w:sz="4" w:space="0" w:color="auto"/>
              <w:bottom w:val="single" w:sz="4" w:space="0" w:color="auto"/>
              <w:right w:val="single" w:sz="4" w:space="0" w:color="auto"/>
            </w:tcBorders>
          </w:tcPr>
          <w:p w:rsidR="00E722B1" w:rsidRDefault="00E722B1" w:rsidP="00897CA8">
            <w:pPr>
              <w:pStyle w:val="TAC"/>
              <w:rPr>
                <w:rFonts w:cs="Arial"/>
                <w:szCs w:val="18"/>
                <w:lang w:eastAsia="ko-KR"/>
              </w:rPr>
            </w:pPr>
            <w:r>
              <w:rPr>
                <w:rFonts w:cs="Arial"/>
                <w:szCs w:val="18"/>
              </w:rPr>
              <w:t>n98</w:t>
            </w:r>
          </w:p>
        </w:tc>
      </w:tr>
      <w:tr w:rsidR="00E722B1" w:rsidRPr="00A03B29" w:rsidTr="00897CA8">
        <w:trPr>
          <w:jc w:val="center"/>
        </w:trPr>
        <w:tc>
          <w:tcPr>
            <w:tcW w:w="4945" w:type="dxa"/>
            <w:tcBorders>
              <w:top w:val="single" w:sz="4" w:space="0" w:color="auto"/>
              <w:left w:val="single" w:sz="4" w:space="0" w:color="auto"/>
              <w:bottom w:val="single" w:sz="4" w:space="0" w:color="auto"/>
              <w:right w:val="single" w:sz="4" w:space="0" w:color="auto"/>
            </w:tcBorders>
          </w:tcPr>
          <w:p w:rsidR="00E722B1" w:rsidRDefault="00E722B1" w:rsidP="00897CA8">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rsidR="00E722B1" w:rsidRPr="00A03B29" w:rsidRDefault="00E722B1" w:rsidP="00897CA8">
            <w:pPr>
              <w:pStyle w:val="TAN"/>
              <w:rPr>
                <w:rFonts w:cs="Arial"/>
                <w:szCs w:val="18"/>
              </w:rPr>
            </w:pPr>
            <w:r w:rsidRPr="00CE1654">
              <w:rPr>
                <w:rFonts w:cs="Arial"/>
                <w:szCs w:val="18"/>
              </w:rPr>
              <w:t>NOTE 2:</w:t>
            </w:r>
            <w:r w:rsidRPr="00CE1654">
              <w:rPr>
                <w:rFonts w:cs="Arial"/>
                <w:szCs w:val="18"/>
              </w:rPr>
              <w:tab/>
              <w:t>UL MIMO is targeted for FWA form factor.</w:t>
            </w:r>
          </w:p>
        </w:tc>
      </w:tr>
    </w:tbl>
    <w:p w:rsidR="00E722B1" w:rsidRDefault="00E722B1" w:rsidP="005369EE">
      <w:pPr>
        <w:rPr>
          <w:lang w:eastAsia="en-US"/>
        </w:rPr>
      </w:pPr>
    </w:p>
    <w:p w:rsidR="00E722B1" w:rsidRPr="00E722B1" w:rsidRDefault="00E722B1" w:rsidP="005369EE">
      <w:pPr>
        <w:rPr>
          <w:lang w:eastAsia="en-US"/>
        </w:rPr>
      </w:pPr>
      <w:r>
        <w:rPr>
          <w:lang w:eastAsia="en-US"/>
        </w:rPr>
        <w:t xml:space="preserve">Now for FDD bands, only PC3 is supported. </w:t>
      </w:r>
    </w:p>
    <w:p w:rsidR="005369EE" w:rsidRDefault="001A74B3" w:rsidP="005369EE">
      <w:pPr>
        <w:rPr>
          <w:lang w:val="en-US" w:eastAsia="en-US"/>
        </w:rPr>
      </w:pPr>
      <w:r>
        <w:rPr>
          <w:lang w:val="en-US" w:eastAsia="en-US"/>
        </w:rPr>
        <w:t>For a specific operating band to support UL MIMO for a power class, we need to consider whether the power class is already supported for non-MIMO operation. The table is copied from the existing specification</w:t>
      </w:r>
      <w:r w:rsidR="00E722B1">
        <w:rPr>
          <w:lang w:val="en-US" w:eastAsia="en-US"/>
        </w:rPr>
        <w:t>. Specifically,</w:t>
      </w:r>
      <w:r>
        <w:rPr>
          <w:lang w:val="en-US" w:eastAsia="en-US"/>
        </w:rPr>
        <w:t xml:space="preserve"> for n40, we see both PC 2 and PC3 are already supported.</w:t>
      </w:r>
    </w:p>
    <w:p w:rsidR="00E722B1" w:rsidRPr="00A1115A" w:rsidRDefault="00E722B1" w:rsidP="00E722B1">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E722B1" w:rsidRPr="00A1115A" w:rsidRDefault="00E722B1" w:rsidP="00897CA8">
            <w:pPr>
              <w:pStyle w:val="TAH"/>
            </w:pPr>
            <w:r w:rsidRPr="00A1115A">
              <w:t>NR</w:t>
            </w:r>
          </w:p>
          <w:p w:rsidR="00E722B1" w:rsidRPr="00A1115A" w:rsidRDefault="00E722B1" w:rsidP="00897CA8">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722B1" w:rsidRPr="00A1115A" w:rsidRDefault="00E722B1" w:rsidP="00897CA8">
            <w:pPr>
              <w:pStyle w:val="TAH"/>
            </w:pPr>
            <w:r w:rsidRPr="00A1115A">
              <w:t>Class 1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722B1" w:rsidRPr="00A1115A" w:rsidRDefault="00E722B1" w:rsidP="00897CA8">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H"/>
            </w:pPr>
            <w:r w:rsidRPr="00A1115A">
              <w:t>Class 1.5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722B1" w:rsidRPr="00A1115A" w:rsidRDefault="00E722B1" w:rsidP="00897CA8">
            <w:pPr>
              <w:pStyle w:val="TAH"/>
            </w:pPr>
            <w:r w:rsidRPr="00A1115A">
              <w:t>Class 2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722B1" w:rsidRPr="00A1115A" w:rsidRDefault="00E722B1" w:rsidP="00897CA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722B1" w:rsidRPr="00A1115A" w:rsidRDefault="00E722B1" w:rsidP="00897CA8">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722B1" w:rsidRPr="00A1115A" w:rsidRDefault="00E722B1" w:rsidP="00897CA8">
            <w:pPr>
              <w:pStyle w:val="TAH"/>
            </w:pPr>
            <w:r w:rsidRPr="00A1115A">
              <w:t>Tolerance (dB)</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r w:rsidRPr="00A1115A">
              <w:rPr>
                <w:vertAlign w:val="superscript"/>
              </w:rPr>
              <w:t>3</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rPr>
                <w:rFonts w:hint="eastAsia"/>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r w:rsidRPr="00A1115A">
              <w:rPr>
                <w:vertAlign w:val="superscript"/>
              </w:rPr>
              <w:t>3</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rPr>
                <w:rFonts w:hint="eastAsia"/>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r w:rsidRPr="00A1115A">
              <w:rPr>
                <w:vertAlign w:val="superscript"/>
              </w:rPr>
              <w:t>3</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722B1" w:rsidRPr="00A1115A" w:rsidRDefault="00E722B1" w:rsidP="00897CA8">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r w:rsidRPr="00A1115A">
              <w:rPr>
                <w:vertAlign w:val="superscript"/>
              </w:rPr>
              <w:t>3</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722B1" w:rsidRPr="00A1115A" w:rsidRDefault="00E722B1" w:rsidP="00897CA8">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rPr>
                <w:rFonts w:cs="Arial"/>
                <w:szCs w:val="18"/>
                <w:lang w:eastAsia="ja-JP"/>
              </w:rPr>
              <w:t>+2/-3</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722B1" w:rsidRPr="00A1115A" w:rsidRDefault="00E722B1" w:rsidP="00897CA8">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+2/-2.5</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722B1" w:rsidRPr="00A1115A" w:rsidRDefault="00E722B1" w:rsidP="00897CA8">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722B1" w:rsidRPr="00A1115A" w:rsidRDefault="00E722B1" w:rsidP="00897CA8">
            <w:pPr>
              <w:pStyle w:val="TAC"/>
              <w:rPr>
                <w:lang w:val="fi-FI" w:eastAsia="fi-FI"/>
              </w:rPr>
            </w:pPr>
            <w:r w:rsidRPr="00A1115A">
              <w:rPr>
                <w:lang w:val="fi-FI"/>
              </w:rPr>
              <w:t>n</w:t>
            </w:r>
            <w:r w:rsidRPr="00A1115A">
              <w:rPr>
                <w:rFonts w:hint="eastAsia"/>
                <w:lang w:val="fi-FI"/>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rPr>
                <w:lang w:val="fi-FI"/>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722B1" w:rsidRPr="00A1115A" w:rsidRDefault="00E722B1" w:rsidP="00897CA8">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722B1" w:rsidRPr="00A1115A" w:rsidRDefault="00E722B1" w:rsidP="00897CA8">
            <w:pPr>
              <w:pStyle w:val="TAC"/>
            </w:pPr>
            <w:r w:rsidRPr="00A1115A">
              <w:rPr>
                <w:rFonts w:hint="eastAsia"/>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722B1" w:rsidRPr="00A1115A" w:rsidRDefault="00E722B1" w:rsidP="00897CA8">
            <w:pPr>
              <w:pStyle w:val="TAC"/>
            </w:pPr>
            <w:r w:rsidRPr="00A1115A">
              <w:rPr>
                <w:rFonts w:hint="eastAsia"/>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r w:rsidR="00E722B1" w:rsidRPr="00A1115A" w:rsidTr="00897CA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722B1" w:rsidRPr="00A1115A" w:rsidRDefault="00E722B1" w:rsidP="00897CA8">
            <w:pPr>
              <w:pStyle w:val="TAC"/>
            </w:pPr>
            <w:r w:rsidRPr="00A1115A">
              <w:rPr>
                <w:rFonts w:hint="eastAsia"/>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722B1" w:rsidRPr="00A1115A" w:rsidRDefault="00E722B1" w:rsidP="00897CA8">
            <w:pPr>
              <w:pStyle w:val="TAC"/>
            </w:pPr>
            <w:r w:rsidRPr="00A1115A">
              <w:t>±2</w:t>
            </w:r>
          </w:p>
        </w:tc>
      </w:tr>
    </w:tbl>
    <w:p w:rsidR="00FF3E30" w:rsidRDefault="001A74B3" w:rsidP="001A74B3">
      <w:pPr>
        <w:spacing w:before="120"/>
      </w:pPr>
      <w:r>
        <w:t>As agreed in the WF, the MPR requirements are general for all operating bands, which is not covered in the basket WI. However, A-MPR, as a band specific requirement, should be considered in the WI if the corresponding requirement is not defined yet.</w:t>
      </w:r>
    </w:p>
    <w:p w:rsidR="001A74B3" w:rsidRDefault="001A74B3" w:rsidP="00FF3E30">
      <w:r>
        <w:t xml:space="preserve">Not all operating bands have A-MPR requirements, which depends on whether there are some specific additional requirements are imposed for the band. </w:t>
      </w:r>
    </w:p>
    <w:p w:rsidR="00E722B1" w:rsidRDefault="002D312C" w:rsidP="00FF3E30">
      <w:r>
        <w:t xml:space="preserve">Specifically, from the table below, there is no A-MPR requirement needed for band n40. But for other bands, A-MPR may need to be considered. </w:t>
      </w:r>
    </w:p>
    <w:p w:rsidR="002D312C" w:rsidRPr="00A1115A" w:rsidRDefault="002D312C" w:rsidP="002D312C">
      <w:pPr>
        <w:pStyle w:val="TH"/>
      </w:pPr>
      <w:r w:rsidRPr="00A1115A">
        <w:t>Table 6.2.3.1-1A: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
        <w:gridCol w:w="1074"/>
        <w:gridCol w:w="1075"/>
        <w:gridCol w:w="1075"/>
        <w:gridCol w:w="1075"/>
        <w:gridCol w:w="1075"/>
        <w:gridCol w:w="1075"/>
        <w:gridCol w:w="1075"/>
        <w:gridCol w:w="1077"/>
      </w:tblGrid>
      <w:tr w:rsidR="002D312C" w:rsidRPr="00A1115A" w:rsidTr="002D312C">
        <w:trPr>
          <w:trHeight w:val="187"/>
          <w:jc w:val="center"/>
        </w:trPr>
        <w:tc>
          <w:tcPr>
            <w:tcW w:w="535" w:type="pct"/>
            <w:tcBorders>
              <w:top w:val="single" w:sz="4" w:space="0" w:color="auto"/>
              <w:left w:val="single" w:sz="4" w:space="0" w:color="auto"/>
              <w:bottom w:val="nil"/>
              <w:right w:val="single" w:sz="4" w:space="0" w:color="auto"/>
            </w:tcBorders>
            <w:shd w:val="clear" w:color="auto" w:fill="auto"/>
            <w:vAlign w:val="center"/>
            <w:hideMark/>
          </w:tcPr>
          <w:p w:rsidR="002D312C" w:rsidRPr="00A1115A" w:rsidRDefault="002D312C" w:rsidP="00897CA8">
            <w:pPr>
              <w:pStyle w:val="TAH"/>
            </w:pPr>
            <w:r w:rsidRPr="00A1115A">
              <w:t>NR band</w:t>
            </w:r>
          </w:p>
        </w:tc>
        <w:tc>
          <w:tcPr>
            <w:tcW w:w="4465" w:type="pct"/>
            <w:gridSpan w:val="8"/>
            <w:tcBorders>
              <w:top w:val="single" w:sz="4" w:space="0" w:color="auto"/>
              <w:left w:val="single" w:sz="4" w:space="0" w:color="auto"/>
              <w:bottom w:val="single" w:sz="4" w:space="0" w:color="auto"/>
              <w:right w:val="single" w:sz="4" w:space="0" w:color="auto"/>
            </w:tcBorders>
          </w:tcPr>
          <w:p w:rsidR="002D312C" w:rsidRPr="00A1115A" w:rsidRDefault="002D312C" w:rsidP="00897CA8">
            <w:pPr>
              <w:pStyle w:val="TAH"/>
            </w:pPr>
            <w:r w:rsidRPr="00A1115A">
              <w:t xml:space="preserve">Value of </w:t>
            </w:r>
            <w:proofErr w:type="spellStart"/>
            <w:r w:rsidRPr="00A1115A">
              <w:t>additionalSpectrumEmission</w:t>
            </w:r>
            <w:proofErr w:type="spellEnd"/>
          </w:p>
        </w:tc>
      </w:tr>
      <w:tr w:rsidR="002D312C" w:rsidRPr="00A1115A" w:rsidTr="002D312C">
        <w:trPr>
          <w:trHeight w:val="187"/>
          <w:jc w:val="center"/>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2D312C" w:rsidRPr="00A1115A" w:rsidRDefault="002D312C" w:rsidP="00897CA8">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tcPr>
          <w:p w:rsidR="002D312C" w:rsidRPr="00A1115A" w:rsidRDefault="002D312C" w:rsidP="00897CA8">
            <w:pPr>
              <w:pStyle w:val="TAC"/>
              <w:rPr>
                <w:rFonts w:cs="Arial"/>
                <w:b/>
              </w:rPr>
            </w:pPr>
            <w:r w:rsidRPr="00A1115A">
              <w:rPr>
                <w:rFonts w:cs="Arial"/>
                <w:b/>
              </w:rPr>
              <w:t>0</w:t>
            </w:r>
          </w:p>
        </w:tc>
        <w:tc>
          <w:tcPr>
            <w:tcW w:w="558" w:type="pct"/>
            <w:tcBorders>
              <w:top w:val="single" w:sz="4" w:space="0" w:color="auto"/>
              <w:left w:val="single" w:sz="4" w:space="0" w:color="auto"/>
              <w:bottom w:val="single" w:sz="4" w:space="0" w:color="auto"/>
              <w:right w:val="single" w:sz="4" w:space="0" w:color="auto"/>
            </w:tcBorders>
          </w:tcPr>
          <w:p w:rsidR="002D312C" w:rsidRPr="00A1115A" w:rsidRDefault="002D312C" w:rsidP="00897CA8">
            <w:pPr>
              <w:pStyle w:val="TAC"/>
              <w:rPr>
                <w:rFonts w:cs="Arial"/>
                <w:b/>
              </w:rPr>
            </w:pPr>
            <w:r w:rsidRPr="00A1115A">
              <w:rPr>
                <w:rFonts w:cs="Arial"/>
                <w:b/>
              </w:rPr>
              <w:t>1</w:t>
            </w:r>
          </w:p>
        </w:tc>
        <w:tc>
          <w:tcPr>
            <w:tcW w:w="558" w:type="pct"/>
            <w:tcBorders>
              <w:top w:val="single" w:sz="4" w:space="0" w:color="auto"/>
              <w:left w:val="single" w:sz="4" w:space="0" w:color="auto"/>
              <w:bottom w:val="single" w:sz="4" w:space="0" w:color="auto"/>
              <w:right w:val="single" w:sz="4" w:space="0" w:color="auto"/>
            </w:tcBorders>
          </w:tcPr>
          <w:p w:rsidR="002D312C" w:rsidRPr="00A1115A" w:rsidRDefault="002D312C" w:rsidP="00897CA8">
            <w:pPr>
              <w:pStyle w:val="TAC"/>
              <w:rPr>
                <w:rFonts w:cs="Arial"/>
                <w:b/>
              </w:rPr>
            </w:pPr>
            <w:r w:rsidRPr="00A1115A">
              <w:rPr>
                <w:rFonts w:cs="Arial"/>
                <w:b/>
              </w:rPr>
              <w:t>2</w:t>
            </w:r>
          </w:p>
        </w:tc>
        <w:tc>
          <w:tcPr>
            <w:tcW w:w="558" w:type="pct"/>
            <w:tcBorders>
              <w:top w:val="single" w:sz="4" w:space="0" w:color="auto"/>
              <w:left w:val="single" w:sz="4" w:space="0" w:color="auto"/>
              <w:bottom w:val="single" w:sz="4" w:space="0" w:color="auto"/>
              <w:right w:val="single" w:sz="4" w:space="0" w:color="auto"/>
            </w:tcBorders>
          </w:tcPr>
          <w:p w:rsidR="002D312C" w:rsidRPr="00A1115A" w:rsidRDefault="002D312C" w:rsidP="00897CA8">
            <w:pPr>
              <w:pStyle w:val="TAC"/>
              <w:rPr>
                <w:rFonts w:cs="Arial"/>
                <w:b/>
              </w:rPr>
            </w:pPr>
            <w:r w:rsidRPr="00A1115A">
              <w:rPr>
                <w:rFonts w:cs="Arial"/>
                <w:b/>
              </w:rPr>
              <w:t>3</w:t>
            </w:r>
          </w:p>
        </w:tc>
        <w:tc>
          <w:tcPr>
            <w:tcW w:w="558" w:type="pct"/>
            <w:tcBorders>
              <w:top w:val="single" w:sz="4" w:space="0" w:color="auto"/>
              <w:left w:val="single" w:sz="4" w:space="0" w:color="auto"/>
              <w:bottom w:val="single" w:sz="4" w:space="0" w:color="auto"/>
              <w:right w:val="single" w:sz="4" w:space="0" w:color="auto"/>
            </w:tcBorders>
          </w:tcPr>
          <w:p w:rsidR="002D312C" w:rsidRPr="00A1115A" w:rsidRDefault="002D312C" w:rsidP="00897CA8">
            <w:pPr>
              <w:pStyle w:val="TAC"/>
              <w:rPr>
                <w:rFonts w:cs="Arial"/>
                <w:b/>
              </w:rPr>
            </w:pPr>
            <w:r w:rsidRPr="00A1115A">
              <w:rPr>
                <w:rFonts w:cs="Arial"/>
                <w:b/>
              </w:rPr>
              <w:t>4</w:t>
            </w:r>
          </w:p>
        </w:tc>
        <w:tc>
          <w:tcPr>
            <w:tcW w:w="558" w:type="pct"/>
            <w:tcBorders>
              <w:top w:val="single" w:sz="4" w:space="0" w:color="auto"/>
              <w:left w:val="single" w:sz="4" w:space="0" w:color="auto"/>
              <w:bottom w:val="single" w:sz="4" w:space="0" w:color="auto"/>
              <w:right w:val="single" w:sz="4" w:space="0" w:color="auto"/>
            </w:tcBorders>
          </w:tcPr>
          <w:p w:rsidR="002D312C" w:rsidRPr="00A1115A" w:rsidRDefault="002D312C" w:rsidP="00897CA8">
            <w:pPr>
              <w:pStyle w:val="TAC"/>
              <w:rPr>
                <w:rFonts w:cs="Arial"/>
                <w:b/>
              </w:rPr>
            </w:pPr>
            <w:r w:rsidRPr="00A1115A">
              <w:rPr>
                <w:rFonts w:cs="Arial"/>
                <w:b/>
              </w:rPr>
              <w:t>5</w:t>
            </w:r>
          </w:p>
        </w:tc>
        <w:tc>
          <w:tcPr>
            <w:tcW w:w="558" w:type="pct"/>
            <w:tcBorders>
              <w:top w:val="single" w:sz="4" w:space="0" w:color="auto"/>
              <w:left w:val="single" w:sz="4" w:space="0" w:color="auto"/>
              <w:bottom w:val="single" w:sz="4" w:space="0" w:color="auto"/>
              <w:right w:val="single" w:sz="4" w:space="0" w:color="auto"/>
            </w:tcBorders>
          </w:tcPr>
          <w:p w:rsidR="002D312C" w:rsidRPr="00A1115A" w:rsidRDefault="002D312C" w:rsidP="00897CA8">
            <w:pPr>
              <w:pStyle w:val="TAC"/>
              <w:rPr>
                <w:rFonts w:cs="Arial"/>
                <w:b/>
              </w:rPr>
            </w:pPr>
            <w:r w:rsidRPr="00A1115A">
              <w:rPr>
                <w:rFonts w:cs="Arial"/>
                <w:b/>
              </w:rPr>
              <w:t>6</w:t>
            </w:r>
          </w:p>
        </w:tc>
        <w:tc>
          <w:tcPr>
            <w:tcW w:w="558" w:type="pct"/>
            <w:tcBorders>
              <w:top w:val="single" w:sz="4" w:space="0" w:color="auto"/>
              <w:left w:val="single" w:sz="4" w:space="0" w:color="auto"/>
              <w:bottom w:val="single" w:sz="4" w:space="0" w:color="auto"/>
              <w:right w:val="single" w:sz="4" w:space="0" w:color="auto"/>
            </w:tcBorders>
          </w:tcPr>
          <w:p w:rsidR="002D312C" w:rsidRPr="00A1115A" w:rsidRDefault="002D312C" w:rsidP="00897CA8">
            <w:pPr>
              <w:pStyle w:val="TAC"/>
              <w:rPr>
                <w:rFonts w:cs="Arial"/>
                <w:b/>
              </w:rPr>
            </w:pPr>
            <w:r w:rsidRPr="00A1115A">
              <w:rPr>
                <w:rFonts w:cs="Arial"/>
                <w:b/>
              </w:rPr>
              <w:t>7</w:t>
            </w:r>
          </w:p>
        </w:tc>
      </w:tr>
      <w:tr w:rsidR="002D312C" w:rsidRPr="00A1115A" w:rsidTr="002D312C">
        <w:trPr>
          <w:trHeight w:val="187"/>
          <w:jc w:val="center"/>
        </w:trPr>
        <w:tc>
          <w:tcPr>
            <w:tcW w:w="535" w:type="pct"/>
            <w:tcBorders>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n1</w:t>
            </w:r>
          </w:p>
        </w:tc>
        <w:tc>
          <w:tcPr>
            <w:tcW w:w="558" w:type="pct"/>
            <w:tcBorders>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NS_100</w:t>
            </w:r>
          </w:p>
        </w:tc>
        <w:tc>
          <w:tcPr>
            <w:tcW w:w="558" w:type="pct"/>
            <w:tcBorders>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NS_05</w:t>
            </w:r>
          </w:p>
        </w:tc>
        <w:tc>
          <w:tcPr>
            <w:tcW w:w="558" w:type="pct"/>
            <w:tcBorders>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NS_05U</w:t>
            </w:r>
          </w:p>
        </w:tc>
        <w:tc>
          <w:tcPr>
            <w:tcW w:w="558" w:type="pct"/>
            <w:tcBorders>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NS_48</w:t>
            </w:r>
          </w:p>
        </w:tc>
        <w:tc>
          <w:tcPr>
            <w:tcW w:w="558" w:type="pct"/>
            <w:tcBorders>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NS_49</w:t>
            </w:r>
          </w:p>
        </w:tc>
        <w:tc>
          <w:tcPr>
            <w:tcW w:w="558" w:type="pct"/>
            <w:tcBorders>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n2</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NS_100</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NS_03</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NS_03U</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n3</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NS_100</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n7</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NS_46</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right w:val="single" w:sz="4" w:space="0" w:color="auto"/>
            </w:tcBorders>
            <w:vAlign w:val="center"/>
          </w:tcPr>
          <w:p w:rsidR="002D312C" w:rsidRPr="00A1115A" w:rsidRDefault="002D312C" w:rsidP="00897CA8">
            <w:pPr>
              <w:pStyle w:val="TAC"/>
            </w:pPr>
            <w:r w:rsidRPr="00A1115A">
              <w:t>n30</w:t>
            </w:r>
          </w:p>
        </w:tc>
        <w:tc>
          <w:tcPr>
            <w:tcW w:w="558" w:type="pct"/>
            <w:tcBorders>
              <w:top w:val="single" w:sz="4" w:space="0" w:color="auto"/>
              <w:left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right w:val="single" w:sz="4" w:space="0" w:color="auto"/>
            </w:tcBorders>
            <w:vAlign w:val="center"/>
          </w:tcPr>
          <w:p w:rsidR="002D312C" w:rsidRPr="00A1115A" w:rsidRDefault="002D312C" w:rsidP="00897CA8">
            <w:pPr>
              <w:pStyle w:val="TAC"/>
            </w:pPr>
            <w:r w:rsidRPr="00A1115A">
              <w:t>NS_21</w:t>
            </w:r>
          </w:p>
        </w:tc>
        <w:tc>
          <w:tcPr>
            <w:tcW w:w="558" w:type="pct"/>
            <w:tcBorders>
              <w:top w:val="single" w:sz="4" w:space="0" w:color="auto"/>
              <w:left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left w:val="single" w:sz="4" w:space="0" w:color="auto"/>
              <w:right w:val="single" w:sz="4" w:space="0" w:color="auto"/>
            </w:tcBorders>
            <w:vAlign w:val="center"/>
          </w:tcPr>
          <w:p w:rsidR="002D312C" w:rsidRPr="00A1115A" w:rsidRDefault="002D312C" w:rsidP="00897CA8">
            <w:pPr>
              <w:pStyle w:val="TAC"/>
            </w:pPr>
            <w:r w:rsidRPr="00A1115A">
              <w:t>n34</w:t>
            </w:r>
          </w:p>
        </w:tc>
        <w:tc>
          <w:tcPr>
            <w:tcW w:w="558" w:type="pct"/>
            <w:tcBorders>
              <w:left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left w:val="single" w:sz="4" w:space="0" w:color="auto"/>
              <w:right w:val="single" w:sz="4" w:space="0" w:color="auto"/>
            </w:tcBorders>
            <w:vAlign w:val="center"/>
          </w:tcPr>
          <w:p w:rsidR="002D312C" w:rsidRPr="00A1115A" w:rsidRDefault="002D312C" w:rsidP="00897CA8">
            <w:pPr>
              <w:pStyle w:val="TAC"/>
            </w:pPr>
          </w:p>
        </w:tc>
        <w:tc>
          <w:tcPr>
            <w:tcW w:w="558" w:type="pct"/>
            <w:tcBorders>
              <w:left w:val="single" w:sz="4" w:space="0" w:color="auto"/>
              <w:right w:val="single" w:sz="4" w:space="0" w:color="auto"/>
            </w:tcBorders>
            <w:vAlign w:val="center"/>
          </w:tcPr>
          <w:p w:rsidR="002D312C" w:rsidRPr="00A1115A" w:rsidRDefault="002D312C" w:rsidP="00897CA8">
            <w:pPr>
              <w:pStyle w:val="TAC"/>
            </w:pPr>
          </w:p>
        </w:tc>
        <w:tc>
          <w:tcPr>
            <w:tcW w:w="558" w:type="pct"/>
            <w:tcBorders>
              <w:left w:val="single" w:sz="4" w:space="0" w:color="auto"/>
              <w:right w:val="single" w:sz="4" w:space="0" w:color="auto"/>
            </w:tcBorders>
            <w:vAlign w:val="center"/>
          </w:tcPr>
          <w:p w:rsidR="002D312C" w:rsidRPr="00A1115A" w:rsidRDefault="002D312C" w:rsidP="00897CA8">
            <w:pPr>
              <w:pStyle w:val="TAC"/>
            </w:pPr>
          </w:p>
        </w:tc>
        <w:tc>
          <w:tcPr>
            <w:tcW w:w="558" w:type="pct"/>
            <w:tcBorders>
              <w:left w:val="single" w:sz="4" w:space="0" w:color="auto"/>
              <w:right w:val="single" w:sz="4" w:space="0" w:color="auto"/>
            </w:tcBorders>
            <w:vAlign w:val="center"/>
          </w:tcPr>
          <w:p w:rsidR="002D312C" w:rsidRPr="00A1115A" w:rsidRDefault="002D312C" w:rsidP="00897CA8">
            <w:pPr>
              <w:pStyle w:val="TAC"/>
            </w:pPr>
          </w:p>
        </w:tc>
        <w:tc>
          <w:tcPr>
            <w:tcW w:w="558" w:type="pct"/>
            <w:tcBorders>
              <w:left w:val="single" w:sz="4" w:space="0" w:color="auto"/>
              <w:right w:val="single" w:sz="4" w:space="0" w:color="auto"/>
            </w:tcBorders>
            <w:vAlign w:val="center"/>
          </w:tcPr>
          <w:p w:rsidR="002D312C" w:rsidRPr="00A1115A" w:rsidRDefault="002D312C" w:rsidP="00897CA8">
            <w:pPr>
              <w:pStyle w:val="TAC"/>
            </w:pPr>
          </w:p>
        </w:tc>
        <w:tc>
          <w:tcPr>
            <w:tcW w:w="558" w:type="pct"/>
            <w:tcBorders>
              <w:left w:val="single" w:sz="4" w:space="0" w:color="auto"/>
              <w:right w:val="single" w:sz="4" w:space="0" w:color="auto"/>
            </w:tcBorders>
            <w:vAlign w:val="center"/>
          </w:tcPr>
          <w:p w:rsidR="002D312C" w:rsidRPr="00A1115A" w:rsidRDefault="002D312C" w:rsidP="00897CA8">
            <w:pPr>
              <w:pStyle w:val="TAC"/>
            </w:pPr>
          </w:p>
        </w:tc>
        <w:tc>
          <w:tcPr>
            <w:tcW w:w="558" w:type="pct"/>
            <w:tcBorders>
              <w:left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n38</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NS_44</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n39</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NS_50</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n40</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n41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NS_04</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rPr>
                <w:rFonts w:hint="eastAsia"/>
              </w:rPr>
              <w:t>N</w:t>
            </w:r>
            <w:r w:rsidRPr="00A1115A">
              <w:t>S_47</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n48</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NS_27</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n66</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NS_100</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NS_03</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NS_03U</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n70</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NS_03</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n71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NS_35</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n77</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n78</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n79</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rPr>
                <w:rFonts w:hint="eastAsia"/>
              </w:rPr>
              <w:t>n95</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rPr>
                <w:rFonts w:hint="eastAsia"/>
              </w:rPr>
              <w:t>n97</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187"/>
          <w:jc w:val="center"/>
        </w:trPr>
        <w:tc>
          <w:tcPr>
            <w:tcW w:w="535"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rPr>
                <w:rFonts w:hint="eastAsia"/>
              </w:rPr>
              <w:t>n98</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NS_01</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r w:rsidRPr="00A1115A">
              <w:t>NS_50</w:t>
            </w: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C"/>
            </w:pPr>
          </w:p>
        </w:tc>
      </w:tr>
      <w:tr w:rsidR="002D312C" w:rsidRPr="00A1115A" w:rsidTr="002D312C">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2D312C" w:rsidRPr="00A1115A" w:rsidRDefault="002D312C" w:rsidP="00897CA8">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rsidR="00FF3E30" w:rsidRPr="00FF3E30" w:rsidRDefault="00FF3E30" w:rsidP="005369EE">
      <w:pPr>
        <w:rPr>
          <w:lang w:eastAsia="en-US"/>
        </w:rPr>
      </w:pPr>
    </w:p>
    <w:p w:rsidR="002D312C" w:rsidRDefault="002D312C" w:rsidP="005369EE">
      <w:pPr>
        <w:rPr>
          <w:b/>
          <w:i/>
          <w:lang w:val="en-US" w:eastAsia="en-US"/>
        </w:rPr>
      </w:pPr>
      <w:r>
        <w:rPr>
          <w:b/>
          <w:i/>
          <w:lang w:val="en-US" w:eastAsia="en-US"/>
        </w:rPr>
        <w:t>Observation 2: Specifically for band n40, there is no A-MPR requirements.</w:t>
      </w:r>
    </w:p>
    <w:p w:rsidR="00CF13F6" w:rsidRPr="00CF13F6" w:rsidRDefault="00CF13F6" w:rsidP="005369EE">
      <w:pPr>
        <w:rPr>
          <w:lang w:val="en-US" w:eastAsia="en-US"/>
        </w:rPr>
      </w:pP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2D312C">
        <w:t>consideration the requirements for NR bands supporting UL MIMO other than MPR.</w:t>
      </w:r>
    </w:p>
    <w:p w:rsidR="003B6CA8" w:rsidRDefault="003B6CA8" w:rsidP="003B6CA8">
      <w:pPr>
        <w:spacing w:after="120"/>
        <w:rPr>
          <w:b/>
          <w:i/>
          <w:lang w:val="en-US" w:eastAsia="en-US"/>
        </w:rPr>
      </w:pPr>
      <w:r>
        <w:rPr>
          <w:b/>
          <w:i/>
          <w:lang w:val="en-US" w:eastAsia="en-US"/>
        </w:rPr>
        <w:t>Observation 1: A-MPR requirement should be considered for NR bands supporting UL MIMO for power classes other than PC3, which is studied band by band</w:t>
      </w:r>
    </w:p>
    <w:p w:rsidR="003B6CA8" w:rsidRDefault="003B6CA8" w:rsidP="003B6CA8">
      <w:pPr>
        <w:spacing w:after="120"/>
        <w:rPr>
          <w:b/>
          <w:i/>
        </w:rPr>
      </w:pPr>
      <w:r w:rsidRPr="005806E3">
        <w:rPr>
          <w:b/>
          <w:i/>
          <w:lang w:val="en-US" w:eastAsia="en-US"/>
        </w:rPr>
        <w:t>Observation</w:t>
      </w:r>
      <w:r w:rsidRPr="005806E3">
        <w:rPr>
          <w:b/>
          <w:i/>
        </w:rPr>
        <w:t xml:space="preserve"> </w:t>
      </w:r>
      <w:r>
        <w:rPr>
          <w:b/>
          <w:i/>
        </w:rPr>
        <w:t>2</w:t>
      </w:r>
      <w:r w:rsidRPr="005806E3">
        <w:rPr>
          <w:b/>
          <w:i/>
        </w:rPr>
        <w:t xml:space="preserve">: </w:t>
      </w:r>
      <w:r>
        <w:rPr>
          <w:rFonts w:hint="eastAsia"/>
          <w:b/>
          <w:i/>
        </w:rPr>
        <w:t>Band</w:t>
      </w:r>
      <w:r>
        <w:rPr>
          <w:b/>
          <w:i/>
        </w:rPr>
        <w:t xml:space="preserve"> specific A-MPR requirements for UL MIMO are considered additionally in clause 6.2.3 with A-MPR applicable to non-MIMO mode</w:t>
      </w:r>
    </w:p>
    <w:p w:rsidR="003B6CA8" w:rsidRPr="005806E3" w:rsidRDefault="003B6CA8" w:rsidP="003B6CA8">
      <w:pPr>
        <w:spacing w:after="120"/>
        <w:rPr>
          <w:b/>
          <w:i/>
        </w:rPr>
      </w:pPr>
      <w:r>
        <w:rPr>
          <w:b/>
          <w:i/>
        </w:rPr>
        <w:t xml:space="preserve">Proposal 1: A-MPR for UL MIMO can be specified additionally with other A-MPR requirements for the operating bands in the same sub-clause if needed. </w:t>
      </w:r>
    </w:p>
    <w:p w:rsidR="002D312C" w:rsidRDefault="002D312C" w:rsidP="002D312C">
      <w:pPr>
        <w:rPr>
          <w:b/>
          <w:i/>
          <w:lang w:val="en-US" w:eastAsia="en-US"/>
        </w:rPr>
      </w:pPr>
      <w:r>
        <w:rPr>
          <w:b/>
          <w:i/>
          <w:lang w:val="en-US" w:eastAsia="en-US"/>
        </w:rPr>
        <w:t xml:space="preserve">Observation </w:t>
      </w:r>
      <w:r w:rsidR="003B6CA8">
        <w:rPr>
          <w:b/>
          <w:i/>
          <w:lang w:val="en-US" w:eastAsia="en-US"/>
        </w:rPr>
        <w:t>3</w:t>
      </w:r>
      <w:r>
        <w:rPr>
          <w:b/>
          <w:i/>
          <w:lang w:val="en-US" w:eastAsia="en-US"/>
        </w:rPr>
        <w:t>: Specifically for band n40, there is no A-MPR requirements.</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F5064A">
        <w:t xml:space="preserve">R4-2105374, </w:t>
      </w:r>
      <w:r w:rsidR="00F5064A" w:rsidRPr="00F5064A">
        <w:t>WF on PC2 UL MIMO for Band n40</w:t>
      </w:r>
      <w:r w:rsidR="00F5064A">
        <w:t>, Huawei, HiSilicon</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38F" w:rsidRDefault="00E1138F" w:rsidP="0052762B">
      <w:r>
        <w:separator/>
      </w:r>
    </w:p>
  </w:endnote>
  <w:endnote w:type="continuationSeparator" w:id="0">
    <w:p w:rsidR="00E1138F" w:rsidRDefault="00E1138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38F" w:rsidRDefault="00E1138F" w:rsidP="0052762B">
      <w:r>
        <w:separator/>
      </w:r>
    </w:p>
  </w:footnote>
  <w:footnote w:type="continuationSeparator" w:id="0">
    <w:p w:rsidR="00E1138F" w:rsidRDefault="00E1138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8"/>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7"/>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4B3"/>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12C"/>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CA8"/>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5D40"/>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06E3"/>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E4C"/>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132"/>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660"/>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4EA6"/>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3F6"/>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38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2B1"/>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64A"/>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BAA"/>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3E30"/>
    <w:rsid w:val="00FF4F4D"/>
    <w:rsid w:val="00FF50DD"/>
    <w:rsid w:val="00FF59DB"/>
    <w:rsid w:val="00FF5B4A"/>
    <w:rsid w:val="00FF5FAE"/>
    <w:rsid w:val="00FF67C4"/>
    <w:rsid w:val="00FF70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57B3D-0D79-4FC7-9ECD-23E20F1BB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315</TotalTime>
  <Pages>5</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2021-04-28T11:14:00Z</dcterms:created>
  <dcterms:modified xsi:type="dcterms:W3CDTF">2021-05-11T21:51:00Z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(3)B2uHfiy732jxsZm1s2msLk10Q1wq2gLfb6G0Vjy7CLHOIgKMt6OLPt+Oqb7r3+hX6ao8Rsaq
nWNH1awMAz2Yk13kT+WqyqsTAf24BHGQzrjmaU4s8XtXi6L/DHNPE9F10fqW05lSwTFazIqW
eB6kU7VFIvajheSe0ENZ0SkhU7E4ccbRaPazJKQ9pXB1ZWruaXL4yohtHQu4Ape3jooXSw6c
xC8RhVcOwjAqXU0gn+</vt:lpwstr>
  </property>
  <property fmtid="{D5CDD505-2E9C-101B-9397-08002B2CF9AE}" pid="15" name="_2015_ms_pID_725343_00">
    <vt:lpwstr>_2015_ms_pID_725343</vt:lpwstr>
  </property>
  <property fmtid="{D5CDD505-2E9C-101B-9397-08002B2CF9AE}" pid="16" name="_2015_ms_pID_7253431">
    <vt:lpwstr>n/wMKvvSdMhpFA7FB3pqRTKQMTAocIKIS7EQVouHGmQHPW3kTvvKtV
V8gXBfI1c48KGSsPT0uZCKujmlLKqiZ/nPu1QhCfF5PCM2RxqEkaPrgKlZZnslfhxJGSBm0f
DHc/HFwQBWVXSJO1FzpgHD2ZAvInHoQ1gwlMjDNhg1NYZZbnS62lAJdvDVzyA7/CojVcFpNE
1us8ivFHOglBewP/c7anYMn22Vs0TmKt99ER</vt:lpwstr>
  </property>
  <property fmtid="{D5CDD505-2E9C-101B-9397-08002B2CF9AE}" pid="17" name="_2015_ms_pID_7253431_00">
    <vt:lpwstr>_2015_ms_pID_7253431</vt:lpwstr>
  </property>
  <property fmtid="{D5CDD505-2E9C-101B-9397-08002B2CF9AE}" pid="18" name="_2015_ms_pID_7253432">
    <vt:lpwstr>o29ODsaG5aXavViGwUOJ8jw=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